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في حالة منح قرض إستثماري دراسة حالة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الصديق/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 البنكي/ الخطر البنكي/ الضمانات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