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تحديات إدارة السيولة في البنوك التجارية دراسة ميدانية ببنك القلاحة والتنمية الريفية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الشريف عمار/ بوطلاعة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المخاطر البنكية/ إدارة السيولة/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