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قروض الإستغلال في البنوك التجارية ودورها في تمويل الاستثمار المحلي دراسة حالة: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بسمة/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