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قروض الإستغلال في البنوك التجارية ودورها في تمويل الاستثمار المحلي دراسة حالة: بنك الفلاحة والتنمية الريفية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بولعجين بسمة/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الضريبة/ الحوافز/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