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قروض الإستغلال في البنوك التجارية ودورها في تمويل الاستثمار المحلي دراسة حالة: بنك الفلاحة والتنمية الريفية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بولعجين بسمة/ برني ميلود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33036511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الضريبة/ الحوافز/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