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مقارنة ميكانيزمات الإقراض البنكي ومخاطره بين بنك تجاري وبنك إسلامي : دراسة حالة -بنك الفلاحة والتنمية الريفية وبنك دبي الإسلامي-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بوالدهان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البنكية/ الضمانات البنكية/ مخاطر القروض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