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سياسات وإجراءات منح القروض الإستثمارية في تمويل المؤسسات الإقتصادية : دراسة حالة بنك الفلاحة والتنمية الريفية BADR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بحري نهاد/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البنوك/ القروض/ المؤسسة الإقتصادية/ BADR/ قروض الإستثمار/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