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وإجراءات منح القروض الإستثمارية في تمويل المؤسسات الإقتصادية : دراسة حالة بنك الفلاحة والتنمية الريفية BADR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البنوك/ القروض/ المؤسسة الإقتصادية/ BADR/ قروض الإستثمار/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