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مخاطر القروض في المؤسسات  البنكية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رميساء/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المصرفي/ لجنة بازل/ المخاطر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