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سيولة في البنوك التجارية دراسة حالة بنك القرض الشعبي الجزائري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ر أحلا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صرفية/ إدارة السيولة/ السيولة المصرفية/ مخاطر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