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سيولة في البنوك التجارية دراسة حالة بنك القرض الشعبي الجزائري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ور أحلا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صرفية/ إدارة السيولة/ السيولة المصرفية/ مخاطر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