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استثمار أموال البنوك التجارية في ظل التحولات الإقتصادية الراهنة : دراسة ميدانية لبنك الفلاحة والتنمية الريفية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جعفر سمية/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استثمار الأموال/ تمويل المشاريع الاستثمارية/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