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التنمية المحلية : دراسة حالة مؤسسة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ب ور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الإقتصاد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