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السياسة الضريبية على الإستثمار في المؤسسة :دراسة حالة مؤسسة مطاحن بني هارون 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سهام/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الضرائب/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