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النظام المصرفي الجزائري في تمويل التجارة الخارجية : دراسة حالة بنك الفلاحة والتنمية الريفية B.A.D.R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فوزي/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المصرفي/ تمويل التجارة الخارجية/ قانون النقد والقرض/ التوطين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