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رأس المال على قيمة المؤسسة  دراسة حالة مؤسسة مطاحن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بشرى/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قيمة المؤسسة/ المصادر التمويلية الداخلية/ المصادر التمويلية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