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المشاريع الإستثمارية عن طريق صيغتي السلم والقرض : دراسة حالة بنك البركة الإسلامي -وكالة قسنطينة وبنك الفلاحة والتنمية الريفية BADR وكالة التلاغمة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ذيب عبد الرزاق/ لمزري مفيدة(مشرفا)/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المخاطر المصرفية/ السلم والقرض/ ضمانات إسترداد الأموال/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