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المشاريع الإستثمارية عن طريق صيغتي السلم والقرض : دراسة حالة بنك البركة الإسلامي -وكالة قسنطينة وبنك الفلاحة والتنمية الريفية BADR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عبد الرزاق/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المخاطر المصرفية/ السلم والقرض/ ضمانات إسترداد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