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واتخاذ القرارات المالية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رميسة/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الإدارة المالية/ القرارات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