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ومتطلبات تطبيقها بالإدارة التربوية : دراسة حالة 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قوريشي سميرة/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التربوية/ الأنترانت/ الإكسترانت/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