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organique : 1er cycle, PACES, prépas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Nicolas Rabasso/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19*15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9782804165659</w:t>
            </w:r>
          </w:p>
        </w:tc>
      </w:tr>
    </w:tbl>
    <w:p>
      <w:pPr>
        <w:pStyle w:val="Heading3"/>
      </w:pPr>
      <w:r>
        <w:t>ملخص</w:t>
      </w:r>
    </w:p>
    <w:p>
      <w:r>
        <w:t>Ce mémento rassemble toutes les notions fondamentales et les mécanismes importants des réactions clés à destination des étudiants en IUT, BTS, PCEM, licence et prépas. Couvre : stéréochimie, effets électroniques, alcènes, alcynes, aldéhydes, cétones... Une fiche récapitule la réactivité des différents groupements fonctionnels.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