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تغطية خطر الصرف: دراسة حالة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يمان/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البنوك التجارية/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