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تغطية خطر الصرف: دراسة حالة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يمان/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البنوك التجارية/ بنك الفلاحة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