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و تقييم المشاريع الاستثمارية المنجزة في إطار من طرف البنوك التجارية خلال الفترة 2015/2008 : دراسة حالة بنك الفلاحة و 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عبدلي فراح/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المشاريع الاستثمارية/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