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تمويل و تقييم المشاريع الاستثمارية المنجزة في إطار من طرف البنوك التجارية خلال الفترة 2015/2008 : دراسة حالة بنك الفلاحة و 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عبدلي فراح/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المشاريع الاستثمارية/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