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و تقييم المشاريع الاستثمارية المنجزة في إطار من طرف البنوك التجارية خلال الفترة 2015/2008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عبدلي فراح/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