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الإصلاح الضريبي في الجزائر ومدى إنعكاساته على النشاط الإقتصادي : دراسة حالة الجزائر 1992/2014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بوقطوش محسن/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النشاط الإقتصادي/ الإصلاح الضريبي/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