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منح الإئتمان في البنوك التجارية : دراسة حالة بنك الفلاحة و التنمية الريفية -وكالة القرارم 837-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نهلة/ قرفي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القروض البنكية/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