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التحفيز الجبائي في ترقية الاستثمار المحلي: دراسة حالة -الوكالة الوطنية لتطوير الاستثمار- ANDI الشباك الوحيد الغير مركزي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ريان/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 الجبائي/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