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الاستثمار الأجنبي المباشر على ميزان المدفوعات  دراسة حالة الجزائر خلال الفترة (1984-2014)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سميرة/ حريد رامي(رئيسا) ,عيساوي سهام(مناقشا) ,رحيم إبراهيم(مشرفا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