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أداء البنوك التجارية بين العائد والمخاطرة دراسة مقارنة بين بنك الفلاحة والتنمية الريفية وبنك قطر للتنمية خلال الفترة (2009-2013)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زعرور ريمة/ أ. بيراز نوال (رئيسا),قرفي عمار(مناقشا),ربيعة بن زيد(مشرفا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المخاطرة/ الأداء المالي/ العائد/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