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هيكل الصناعة المصرفية بالإستراتجيات المعتمدة في الصناعة : دراسة حالة : بنك الفلاحة و التنمية الريفية و الصندوق الوطني للتوفير و الاحتياط - بنك (وكالتي 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بوقلع/ ربيع قرين(رئيسا) ,فؤاد وشاش(مناقشا) ,فواز واضح(مشرفا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الصناعة/ الصناعة المصرفية/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