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هيكل الصناعة المصرفية بالإستراتجيات المعتمدة في الصناعة : دراسة حالة : بنك الفلاحة و التنمية الريفية و الصندوق الوطني للتوفير و الاحتياط - بنك (وكالتي 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بوقلع/ ربيع قرين(رئيسا) ,فؤاد وشاش(مناقشا) ,فواز واضح(مشرفا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الصناعة/ الصناعة المصرفية/ بنك الفلاحة و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