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الشاملة و دورها في تحفيز الاستثمار  دراسة حالة  بنك دبي الإسلامي خلال الفترة (2009-2015)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بوحلوس لبنى/ دوفي قرمية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بنك دبي الإسلامي/ البنوك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