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comparée des paramètres de croissance et de pollution chez deux espèces de poissons issues du barrage de beni haroun : la brème (abramis brama) et la carpe commune (cyprinus carpio)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reddad sakina/ BOUNAMOUS. A Président,MLIKI. F Examinatrice,TOUMI. ML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croissance/ barrage de bani haroun/ brème/ carpe commune/ biométrie/ foie/ détoxification/ saison/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