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الضريبة على أرباح الشركات وتأثيرها على المردودية المالية للمؤسسة : دراسة حالة مفتشية الضرائب ميلة شمال: 2011-2015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بوقاسة مريم/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النظام الضريبي/ الضريبة على أرباح الشركات/ المردودية المالية/ الضغط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