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الضريبة على أرباح الشركات وتأثيرها على المردودية المالية للمؤسسة : دراسة حالة مفتشية الضرائب ميلة شمال: 2011-2015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بوقاسة مريم/ عقون شراف (رئيسا) ,عاشوري نعيم (مناقشا) ,حراق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النظام الضريبي/ الضريبة على أرباح الشركات/ المردودية المالية/ الضغط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