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تفعيل الإستثمار : دراسة حالة الجزائر خلال الفترة 2000-2016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أحلام/ حريد رامي (رئيسا) ,دوفي قرمية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الأجنبي/ الإستثمار الخاص/ الإنفاق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