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في الصكوك الإسلامية على ربحية البنوك الإسلامية : دراسة حالة بنك دبي الإسلامي خلال الفترة 2009-2015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قرمية دوفي(رئيسا),زوليخة كنيدة(مناقشا),فريد مشري(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الربحية/ بنك دبي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