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الإستثمار في الصكوك الإسلامية على ربحية البنوك الإسلامية : دراسة حالة بنك دبي الإسلامي خلال الفترة 2009-2015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لمياء/ قرمية دوفي(رئيسا),زوليخة كنيدة(مناقشا),فريد مشري(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البنوك الإسلامية/ الربحية/ بنك دبي الإسلامي/ الصكوك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