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الإستثمار في الصكوك الإسلامية على ربحية البنوك الإسلامية : دراسة حالة بنك دبي الإسلامي خلال الفترة 2009-2015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لمياء/ قرمية دوفي(رئيسا),زوليخة كنيدة(مناقشا),فريد مشري(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الربحية/ بنك دبي الإسلامي/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