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الرفع من تنافسية البنوك التجارية : دراسة حالة بنك الفلاحة و 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الراهم سيف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