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س المال المخاطر كتقنية حديثة لتمويل المؤسسات الصغيرة والمتوسطة :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ر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