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أس المال المخاطر كتقنية حديثة لتمويل المؤسسات الصغيرة والمتوسطة :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ر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