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التعديلات الجديدة لقانون ضريبة الدخل رقم 25 لسنة 2001 على الإيرادات الضريبية في المملكة وتأثيرتها على المستوى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نظمي إبراهيم/ خليل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15-34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