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التعديلات الجديدة لقانون ضريبة الدخل رقم 25 لسنة 2001 على الإيرادات الضريبية في المملكة وتأثيرتها على المستوى الوطني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إيهاب نظمي إبراهيم/ خليل الرفاعي/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15-34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