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Hernani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Victor Hugo/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Librio/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9782290354513</w:t>
            </w:r>
          </w:p>
        </w:tc>
      </w:tr>
    </w:tbl>
    <w:p>
      <w:pPr>
        <w:pStyle w:val="Heading3"/>
      </w:pPr>
      <w:r>
        <w:t>ملخص</w:t>
      </w:r>
    </w:p>
    <w:p>
      <w:r>
        <w:t>Bien qu'il soit voué à la vengeance, bien qu'elle soit promise au duc Gomez, Hernani et dopa Sol s'aiment. L'intensité de cette passion déchire le cœur du héros. Parce que le père du roi a tué le sien, il se doit d'exécuter son fils ; toutefois, son cœur lui souffle de vivre. Unis et désunis par une femme, les trois hommes doivent choisir entre l'honneur et l'amour. Leur grandeur causera leur chute.</w:t>
        <w:br/>
        <w:br/>
        <w:t>Avec ses personnages excessifs, ses multiples intrigues, son mélange de rire et de larmes, Hernani est l'acte de naissance du théâtre romantique.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