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L'avare : comédie 1668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155p.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9782253038559</w:t>
            </w:r>
          </w:p>
        </w:tc>
      </w:tr>
    </w:tbl>
    <w:p>
      <w:pPr>
        <w:pStyle w:val="Heading3"/>
      </w:pPr>
      <w:r>
        <w:t>ملخص</w:t>
      </w:r>
    </w:p>
    <w:p>
      <w:r>
        <w:t>Elise, fille d’Harpagon, souhaite se marier avec Valère, tandis que son frère Cléante veut épouser Mariane. Mais le père a d’autres vues pour ses enfants, et a jeté lui-même son dévolu sur la jeune fille. La pièce, créée par Molière en 1668, serait donc une comédie amoureuse si, derrière cette première intrigue, ne se dessinait surtout la comédie d’un caractère, l’avare, dont la précieuse cassette, un moment dérobée, fait opportunément retour afin de permettre un dénouement heureux.</w:t>
        <w:br/>
        <w:br/>
        <w:t>Créature comique, objet de moqueries et de vengeances, mais aussi nature monstrueuse et tyran domestique, Harpagon est bien la figure qui domine presque toutes les scènes, assure l’efficacité dramatique de la pièce et permet à la comédie de confiner à la farce. Par la satire, le quiproquo et l’ironie, Molière brosse de lui un portrait d’une drôlerie sans pitié.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