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fleurs du 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9782290054123</w:t>
            </w:r>
          </w:p>
        </w:tc>
      </w:tr>
    </w:tbl>
    <w:p>
      <w:pPr>
        <w:pStyle w:val="Heading3"/>
      </w:pPr>
      <w:r>
        <w:t>ملخص</w:t>
      </w:r>
    </w:p>
    <w:p>
      <w:r>
        <w:t>En juin 1857, Baudelaire publie Les fleurs du Mal. Quelques mois auparavant, Flaubert est jugé pour "outrage à la morale publique et religieuse, et aux bonnes moeurs "parce que certains passages de Madame Bovary sont jugés sulfureux. C'est donc sans surprise qu'il est, à son tour, accusé. Mais la justice, qui a finalement acquitté le romancier, condamne le poète "maudit" et le contraint à supprimer six pièces, dont "Les Bijoux" et "Les Métamorphoses du vampire", pour leur caractère explicitement érotique et provocateur. Ce n'est qu'en 1949 que Baudelaire est réhabilité à titre posthume, la Cour reconnaissant bien tard le "frisson nouveau" que ce recueil a apporté à la littérature.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