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 المتهم في الدفاع بين القانون الوضعي والشريعة الإسلامية دراسة تأصيلية وتحليلية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مشيرح محمد/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