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صندوق الزكاة في تمويل المشاريع وفق آلية القرض الحسن دراسة حالة مديرية الشؤون الدينية والأوقاف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شنوف ندى/ بوراوي رميساء/ عباسي صبرينة(رئيسا)،زموري كمال(مشرفا ومقررا)،أوصالح عبد الحليم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مويل المشاريع/ التمويل الإسلامي/ صندوق الزكاة/ القرض الحسن/ التنمية الاقتصادية والاجتماع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