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وفق آلية القرض الحسن دراسة حالة مديرية الشؤون الدينية والأوقاف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شنوف ندى/ بوراوي رميساء/ عباسي صبرينة(رئيسا)،زموري كمال(مشرفا ومقررا)،أوصالح عبد الحليم(مناقشا)/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تمويل المشاريع/ التمويل الإسلامي/ صندوق الزكاة/ القرض الحسن/ التنمية الاقتصادية والاجتماعية/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