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زكاة في تمويل المشاريع وفق آلية القرض الحسن دراسة حالة مديرية الشؤون الدينية والأوقا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نوف ندى/ بوراوي رميساء/ عباسي صبرينة(رئيسا)،زموري كمال(مشرفا ومقررا)،أوصالح عبد الحليم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مويل المشاريع/ التمويل الإسلامي/ صندوق الزكاة/ القرض الحسن/ التنمية الاقتصادية والاجتماع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