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إدارة المخاطر المالية بالبنوك التجارية دراسة حالة بنك BADR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فرح/ سرار عائشة/ بوهلالة سعاد(رئيسا)،زموري كمال(مشرفا ومقررا)،زيد جاب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الإفصاح والشفافية/ إدارة المخاطر المالية/ بنك BADR وكالة ميل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