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إدارة المخاطر المالية بالبنوك التجارية دراسة حالة بنك BADR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فرح/ سرار عائشة/ بوهلالة سعاد(رئيسا)،زموري كمال(مشرفا ومقررا)،زيد جاب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إفصاح والشفافية/ إدارة المخاطر المالية/ بنك BADR وكالة مي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