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حوكمة الشركات في الحد من أساليب المحاسبة الإبداعية في ظل النظام المحاسبي المالي - من وجهة نظر ممارس ي مهنة المحاسبة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ساعد بخوش حسينة/ عاشوري نعيم(رئيسا),محمدبوطلاعة(مشرفا ومقررا),باي مريم(ممتحنا),عزي فريال(ممتحنا),بوسالم ابو بكر(ممتحنا),عياش زوبير(ممتحنا)/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- ل م د 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DN3302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المحاسبة الابداعية، ادارة االرباح، النظام المحاسبي المالي، حوكمة الشركات.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>
      <w:r>
        <w:t>The crises and collapses to which a number of financial and accounting companies</w:t>
        <w:br/>
        <w:br/>
        <w:t>were exposed showed unethical ways and methods in processing the company's accounting</w:t>
        <w:br/>
        <w:br/>
        <w:t>data or tampering with it through creative, accurate accounting methods by exploiting legal</w:t>
        <w:br/>
        <w:br/>
        <w:t>loopholes in order to achieve the desired goals, which is known as the Creative Accounting</w:t>
        <w:br/>
        <w:br/>
        <w:t>practices. This has led to an increased interest in Corporate Governance, focusing on applying</w:t>
        <w:br/>
        <w:br/>
        <w:t>its principles as an effective solution to these crises, This study sought to uncover the role of</w:t>
        <w:br/>
        <w:br/>
        <w:t>corporate governance under the financial accounting system in reducing its creative</w:t>
        <w:br/>
        <w:br/>
        <w:t>accounting practices and dimensions used in (Financial position list, income list, cash flow</w:t>
        <w:br/>
        <w:br/>
        <w:t>list, list of changes in equity, profit management) In order to achieve the study's objectives, a</w:t>
        <w:br/>
        <w:br/>
        <w:t>questionnaire was developed for the purpose of collecting data from members of the sample,</w:t>
        <w:br/>
        <w:br/>
        <w:t>from which up to the study and analysis relied on 340 questionnaires, or 95% of the</w:t>
        <w:br/>
        <w:br/>
        <w:t>distributed questionnaires, and the statistical package was used for social sciences. (SPSS) to</w:t>
        <w:br/>
        <w:br/>
        <w:t>analyse the identification data, based on computational averages, regression model and other</w:t>
        <w:br/>
        <w:br/>
        <w:t>statistical methods. The study found a role for corporate governance under the financial</w:t>
        <w:br/>
        <w:br/>
        <w:t>accounting system in reducing its creative accounting practices and dimensions by an</w:t>
        <w:br/>
        <w:br/>
        <w:t>estimated 56.3%..</w:t>
        <w:br/>
        <w:br/>
        <w:t>The study recommends the need for continuous access to professional guides and</w:t>
        <w:br/>
        <w:br/>
        <w:t>international standards that could contribute to reducing creative accounting practices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