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troubles du langage écrit chez les élèves du cycle primaire Cas des communes : Mila et Grarem Gouga.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BOUSMAHA Amina/ BOUTELLAA Narimene/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