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صلاحات المحاسبة العمومية في رفع التجميد عن المشاريع العمومية: دراسة حالة مديرية التعمير والهندسة المعمارية والبناء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بور ليلى/ بوالشعر نزيه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