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صلاحات المحاسبة العمومية في رفع التجميد عن المشاريع العمومية: دراسة حالة مديرية التعمير والهندسة المعمارية والبناء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بور ليلى/ بوالشعر نزيهة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