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أبعادالتمكين الإداري على الرضا الوظيفي في المؤسسةالإقتصادية دراسة حالة مؤسسةسوناريك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هند/ بوحالة وصال/ خلوفي سفيان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