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الشفافيةالمالية على كفاءة تسيير الميزانية المحلية دراسة حالة بلديةالرواشد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عميمور أميمة/ بلور إكرام/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