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 الرقمي وأثره على فعالية إدارةالمخاطرالمالية دراسة حالةبنك القرض الشعبي الوطني الجزائري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هديل/ بوعلي أحلام/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