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بواسطةالمؤشرات المالية للمؤسسات المدرجة  في بورصة الجزائر دراسة حالة صيدال وبيوفارم(2019-2024)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كربي إيناس/ صابوني علي/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