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Comptes consolidés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Evelyne Gurfein/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225p.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consolidation des comptes, norme (standard)</w:t>
            </w:r>
          </w:p>
        </w:tc>
      </w:tr>
      <w:tr>
        <w:trPr>
          <w:trHeight w:val="567"/>
        </w:trPr>
        <w:tc>
          <w:tcPr>
            <w:tcW w:type="dxa" w:w="3000"/>
          </w:tcPr>
          <w:p>
            <w:r>
              <w:t>Numéro d'Identification</w:t>
            </w:r>
          </w:p>
        </w:tc>
        <w:tc>
          <w:tcPr>
            <w:tcW w:type="dxa" w:w="7000"/>
          </w:tcPr>
          <w:p>
            <w:r>
              <w:t>9782708137608</w:t>
            </w:r>
          </w:p>
        </w:tc>
      </w:tr>
      <w:tr>
        <w:trPr>
          <w:trHeight w:val="567"/>
        </w:trPr>
        <w:tc>
          <w:tcPr>
            <w:tcW w:type="dxa" w:w="3000"/>
          </w:tcPr>
          <w:p>
            <w:r>
              <w:t>Sujet(s)</w:t>
            </w:r>
          </w:p>
        </w:tc>
        <w:tc>
          <w:tcPr>
            <w:tcW w:type="dxa" w:w="7000"/>
          </w:tcPr>
          <w:p>
            <w:r>
              <w:t xml:space="preserve">consolidation des comptes/ norme (standar/ </w:t>
            </w:r>
          </w:p>
        </w:tc>
      </w:tr>
    </w:tbl>
    <w:p>
      <w:pPr>
        <w:pStyle w:val="Heading3"/>
      </w:pPr>
      <w:r>
        <w:t>Résumé :</w:t>
      </w:r>
    </w:p>
    <w:p>
      <w:r>
        <w:t>Déjouez les pièges de la conversion monétaire pour améliorer votre reporting consolidé</w:t>
        <w:br/>
        <w:br/>
        <w:br/>
        <w:br/>
        <w:t>En même temps qu'elle accélère le processus de rapprochement entre la comptabilité et la gestion, la mise en place des normes IAS/IFRS renforce le besoin d'harmonisation de la communication financière interne et externe, car l'information doit être produite plus fréquemment, dans des délais plus courts et à un niveau plus détaillé.</w:t>
        <w:br/>
        <w:br/>
        <w:br/>
        <w:br/>
        <w:t>Consolideurs et contrôleurs de gestion doivent désormais partager un même système d'information, s'accorder sur le traitement des données, et en particulier dans les groupes internationaux sur la conversion monétaire.</w:t>
        <w:br/>
        <w:br/>
        <w:br/>
        <w:br/>
        <w:t>Cet ouvrage expose les règles et pratiques en la matière et montre comment déjouer tous les pièges de ce qui constitue l'un des problèmes les plus complexes de la consolidation des comptes d'un groupe d'entreprises.</w:t>
        <w:br/>
        <w:br/>
        <w:br/>
        <w:br/>
        <w:t>Son intérêt réside dans son approche novatrice du sujet. D'une part, à la différence de tous ses prédécesseurs, qui traitent des règles en décrivant ce qui doit être fait, il explique, d'une manière pratique et au travers de nombreux exemples, comment y parvenir en évitant les pièges. D'autre part, il se place d'une manière originale dans la logique du système pour adopter le point de vue du maître d'oeuvre.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