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et commentés de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Pierre Cau/ </w:t>
            </w:r>
          </w:p>
        </w:tc>
      </w:tr>
      <w:tr>
        <w:trPr>
          <w:trHeight w:val="567"/>
        </w:trPr>
        <w:tc>
          <w:tcPr>
            <w:tcW w:type="dxa" w:w="3000"/>
          </w:tcPr>
          <w:p>
            <w:r>
              <w:t>Edition</w:t>
            </w:r>
          </w:p>
        </w:tc>
        <w:tc>
          <w:tcPr>
            <w:tcW w:type="dxa" w:w="7000"/>
          </w:tcPr>
          <w:p>
            <w:r>
              <w:t>3.éd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330p.</w:t>
            </w:r>
          </w:p>
        </w:tc>
      </w:tr>
      <w:tr>
        <w:trPr>
          <w:trHeight w:val="567"/>
        </w:trPr>
        <w:tc>
          <w:tcPr>
            <w:tcW w:type="dxa" w:w="3000"/>
          </w:tcPr>
          <w:p>
            <w:r>
              <w:t>Format</w:t>
            </w:r>
          </w:p>
        </w:tc>
        <w:tc>
          <w:tcPr>
            <w:tcW w:type="dxa" w:w="7000"/>
          </w:tcPr>
          <w:p>
            <w:r>
              <w:t>24*17</w:t>
            </w:r>
          </w:p>
        </w:tc>
      </w:tr>
      <w:tr>
        <w:trPr>
          <w:trHeight w:val="567"/>
        </w:trPr>
        <w:tc>
          <w:tcPr>
            <w:tcW w:type="dxa" w:w="3000"/>
          </w:tcPr>
          <w:p>
            <w:r>
              <w:t>Collection</w:t>
            </w:r>
          </w:p>
        </w:tc>
        <w:tc>
          <w:tcPr>
            <w:tcW w:type="dxa" w:w="7000"/>
          </w:tcPr>
          <w:p>
            <w:r>
              <w:t>PCEM(N°:None)</w:t>
            </w:r>
          </w:p>
        </w:tc>
      </w:tr>
      <w:tr>
        <w:trPr>
          <w:trHeight w:val="567"/>
        </w:trPr>
        <w:tc>
          <w:tcPr>
            <w:tcW w:type="dxa" w:w="3000"/>
          </w:tcPr>
          <w:p>
            <w:r>
              <w:t>Numéro d'Identification</w:t>
            </w:r>
          </w:p>
        </w:tc>
        <w:tc>
          <w:tcPr>
            <w:tcW w:type="dxa" w:w="7000"/>
          </w:tcPr>
          <w:p>
            <w:r>
              <w:t>9782729836146</w:t>
            </w:r>
          </w:p>
        </w:tc>
      </w:tr>
    </w:tbl>
    <w:p>
      <w:pPr>
        <w:pStyle w:val="Heading3"/>
      </w:pPr>
      <w:r>
        <w:t>Résumé :</w:t>
      </w:r>
    </w:p>
    <w:p>
      <w:r>
        <w:t>La troisième édition de cet ouvrage est destinée aux étudiants en Sciences de la Vie, dont ceux des facultés de Médecine, d'Odontologie, de Pharmacie, des facultés des Sciences ou de Grandes ?coles.</w:t>
        <w:br/>
        <w:br/>
        <w:t>L'ouvrage est complémentaire de la quatrième édition du Cours de Biologie cellulaire publiée en 2007 chez le même éditeur et à laquelle renvoient les numéros de chapitres et ceux des figures.</w:t>
        <w:br/>
        <w:br/>
        <w:t>Il comporte environ 380 questions sous forme de QCM avec plus de 1 800 items portant sur des schémas, des expérimentations tirées de la littérature scientifique récente dont sont décortiqués les protocoles et les résultats, sur des protéines enfin qui sont analysées pour comprendre leur organisation dans la cellule et leurs fonctions.</w:t>
        <w:br/>
        <w:br/>
        <w:t>Environ 250 questions abordent la physiopathologie et le traitement, à l'échelle cellulaire, de maladies humaines très variées, qu'elles soient d'origine génétique (épilepsie, dystrophies musculaires, polykystose rénale, cystinose, pathologies des mitochondries, syndromes pro-géroïdes...) ou acquises (laminopathie iatrogène, cancer et métastases, maladies à prions, infection par le bacille du charbon, par des virus...).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