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appliquées L3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Rémi abgrall/ </w:t>
            </w:r>
          </w:p>
        </w:tc>
      </w:tr>
      <w:tr>
        <w:trPr>
          <w:trHeight w:val="567"/>
        </w:trPr>
        <w:tc>
          <w:tcPr>
            <w:tcW w:type="dxa" w:w="3000"/>
          </w:tcPr>
          <w:p>
            <w:r>
              <w:t>Edition</w:t>
            </w:r>
          </w:p>
        </w:tc>
        <w:tc>
          <w:tcPr>
            <w:tcW w:type="dxa" w:w="7000"/>
          </w:tcPr>
          <w:p>
            <w:r>
              <w:t>1ed.</w:t>
            </w:r>
          </w:p>
        </w:tc>
      </w:tr>
      <w:tr>
        <w:trPr>
          <w:trHeight w:val="567"/>
        </w:trPr>
        <w:tc>
          <w:tcPr>
            <w:tcW w:type="dxa" w:w="3000"/>
          </w:tcPr>
          <w:p>
            <w:r>
              <w:t>Adresse bib.</w:t>
            </w:r>
          </w:p>
        </w:tc>
        <w:tc>
          <w:tcPr>
            <w:tcW w:type="dxa" w:w="7000"/>
          </w:tcPr>
          <w:p>
            <w:r>
              <w:t xml:space="preserve">Pearson  Education/ </w:t>
            </w:r>
          </w:p>
        </w:tc>
      </w:tr>
      <w:tr>
        <w:trPr>
          <w:trHeight w:val="567"/>
        </w:trPr>
        <w:tc>
          <w:tcPr>
            <w:tcW w:type="dxa" w:w="3000"/>
          </w:tcPr>
          <w:p>
            <w:r>
              <w:t>Nombre de Pages</w:t>
            </w:r>
          </w:p>
        </w:tc>
        <w:tc>
          <w:tcPr>
            <w:tcW w:type="dxa" w:w="7000"/>
          </w:tcPr>
          <w:p>
            <w:r>
              <w:t>890p.</w:t>
            </w:r>
          </w:p>
        </w:tc>
      </w:tr>
      <w:tr>
        <w:trPr>
          <w:trHeight w:val="567"/>
        </w:trPr>
        <w:tc>
          <w:tcPr>
            <w:tcW w:type="dxa" w:w="3000"/>
          </w:tcPr>
          <w:p>
            <w:r>
              <w:t>Format</w:t>
            </w:r>
          </w:p>
        </w:tc>
        <w:tc>
          <w:tcPr>
            <w:tcW w:type="dxa" w:w="7000"/>
          </w:tcPr>
          <w:p>
            <w:r>
              <w:t>24*17</w:t>
            </w:r>
          </w:p>
        </w:tc>
      </w:tr>
      <w:tr>
        <w:trPr>
          <w:trHeight w:val="567"/>
        </w:trPr>
        <w:tc>
          <w:tcPr>
            <w:tcW w:type="dxa" w:w="3000"/>
          </w:tcPr>
          <w:p>
            <w:r>
              <w:t>Numéro d'Identification</w:t>
            </w:r>
          </w:p>
        </w:tc>
        <w:tc>
          <w:tcPr>
            <w:tcW w:type="dxa" w:w="7000"/>
          </w:tcPr>
          <w:p>
            <w:r>
              <w:t>9782744073526</w:t>
            </w:r>
          </w:p>
        </w:tc>
      </w:tr>
    </w:tbl>
    <w:p>
      <w:pPr>
        <w:pStyle w:val="Heading3"/>
      </w:pPr>
      <w:r>
        <w:t>Résumé :</w:t>
      </w:r>
    </w:p>
    <w:p>
      <w:r>
        <w:t>Mathématiques L3 - Mathématiques appliquées - est, avec les deux autres volumes de la collection (Algèbre et Analyse), le dernier volet d'une série couvrant les besoins des étudiants préparant la licence, le Capes ainsi que l'agrégation de mathématiques ou se destinant à un master. Il regroupe tout ce qui est nécessaire en L3 : un cours complet et détaillé et 500 tests et exercices entièrement corrigés.</w:t>
        <w:br/>
        <w:br/>
        <w:br/>
        <w:br/>
        <w:t>Particulièrement didactique, Mathématiques L3 s'applique à faire ressortir les raisons d'être et le sens de toutes les notions introduites. La présentation des outils fondamentaux est ainsi toujours assortie d'un grand nombre d'exemples concrets et les concepts analytiques sont reliés aux questions qui les ont fait naître. Quelques éléments d'histoire des mathématiques sont présentés pour illustrer l'ensemble des idées.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