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John w. Hill/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Erpi/ </w:t>
            </w:r>
          </w:p>
        </w:tc>
      </w:tr>
      <w:tr>
        <w:trPr>
          <w:trHeight w:val="567"/>
        </w:trPr>
        <w:tc>
          <w:tcPr>
            <w:tcW w:type="dxa" w:w="3000"/>
          </w:tcPr>
          <w:p>
            <w:r>
              <w:t>Nombre de Pages</w:t>
            </w:r>
          </w:p>
        </w:tc>
        <w:tc>
          <w:tcPr>
            <w:tcW w:type="dxa" w:w="7000"/>
          </w:tcPr>
          <w:p>
            <w:r>
              <w:t>501p.</w:t>
            </w:r>
          </w:p>
        </w:tc>
      </w:tr>
      <w:tr>
        <w:trPr>
          <w:trHeight w:val="567"/>
        </w:trPr>
        <w:tc>
          <w:tcPr>
            <w:tcW w:type="dxa" w:w="3000"/>
          </w:tcPr>
          <w:p>
            <w:r>
              <w:t>Format</w:t>
            </w:r>
          </w:p>
        </w:tc>
        <w:tc>
          <w:tcPr>
            <w:tcW w:type="dxa" w:w="7000"/>
          </w:tcPr>
          <w:p>
            <w:r>
              <w:t>28*21</w:t>
            </w:r>
          </w:p>
        </w:tc>
      </w:tr>
      <w:tr>
        <w:trPr>
          <w:trHeight w:val="567"/>
        </w:trPr>
        <w:tc>
          <w:tcPr>
            <w:tcW w:type="dxa" w:w="3000"/>
          </w:tcPr>
          <w:p>
            <w:r>
              <w:t>Numéro d'Identification</w:t>
            </w:r>
          </w:p>
        </w:tc>
        <w:tc>
          <w:tcPr>
            <w:tcW w:type="dxa" w:w="7000"/>
          </w:tcPr>
          <w:p>
            <w:r>
              <w:t>9782761324335</w:t>
            </w:r>
          </w:p>
        </w:tc>
      </w:tr>
    </w:tbl>
    <w:p>
      <w:pPr>
        <w:pStyle w:val="Heading3"/>
      </w:pPr>
      <w:r>
        <w:t>Résumé :</w:t>
      </w:r>
    </w:p>
    <w:p>
      <w:r>
        <w:t>Ces ouvrages couvrent les deux cours de chimie du programme des sciences de la nature ; ils peuvent également être utilisés dans les programmes techniques. Ils se démarquent par un style d'écriture accessible et une pédagogie extrêmement dynamique axée sur l'étudiant et le monde qui l'entoure. L'accent étant mis sur la résolution de problèmes, les exercices y sont nombreux et variés, et offrent divers degrés de difficulté. Chacun des deux livres se termine par un chapitre de synthèse traitant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