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Ensembles,relation, applications, dénombrement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Bertrand Cintract/ </w:t>
            </w:r>
          </w:p>
        </w:tc>
      </w:tr>
      <w:tr>
        <w:trPr>
          <w:trHeight w:val="567"/>
        </w:trPr>
        <w:tc>
          <w:tcPr>
            <w:tcW w:type="dxa" w:w="3000"/>
          </w:tcPr>
          <w:p>
            <w:r>
              <w:t>Edition</w:t>
            </w:r>
          </w:p>
        </w:tc>
        <w:tc>
          <w:tcPr>
            <w:tcW w:type="dxa" w:w="7000"/>
          </w:tcPr>
          <w:p>
            <w:r>
              <w:t>/</w:t>
            </w:r>
          </w:p>
        </w:tc>
      </w:tr>
      <w:tr>
        <w:trPr>
          <w:trHeight w:val="567"/>
        </w:trPr>
        <w:tc>
          <w:tcPr>
            <w:tcW w:type="dxa" w:w="3000"/>
          </w:tcPr>
          <w:p>
            <w:r>
              <w:t>Adresse bib.</w:t>
            </w:r>
          </w:p>
        </w:tc>
        <w:tc>
          <w:tcPr>
            <w:tcW w:type="dxa" w:w="7000"/>
          </w:tcPr>
          <w:p>
            <w:r>
              <w:t xml:space="preserve">Cépaduès/ </w:t>
            </w:r>
          </w:p>
        </w:tc>
      </w:tr>
      <w:tr>
        <w:trPr>
          <w:trHeight w:val="567"/>
        </w:trPr>
        <w:tc>
          <w:tcPr>
            <w:tcW w:type="dxa" w:w="3000"/>
          </w:tcPr>
          <w:p>
            <w:r>
              <w:t>Nombre de Pages</w:t>
            </w:r>
          </w:p>
        </w:tc>
        <w:tc>
          <w:tcPr>
            <w:tcW w:type="dxa" w:w="7000"/>
          </w:tcPr>
          <w:p>
            <w:r>
              <w:t>154p.</w:t>
            </w:r>
          </w:p>
        </w:tc>
      </w:tr>
      <w:tr>
        <w:trPr>
          <w:trHeight w:val="567"/>
        </w:trPr>
        <w:tc>
          <w:tcPr>
            <w:tcW w:type="dxa" w:w="3000"/>
          </w:tcPr>
          <w:p>
            <w:r>
              <w:t>Format</w:t>
            </w:r>
          </w:p>
        </w:tc>
        <w:tc>
          <w:tcPr>
            <w:tcW w:type="dxa" w:w="7000"/>
          </w:tcPr>
          <w:p>
            <w:r>
              <w:t>20*14</w:t>
            </w:r>
          </w:p>
        </w:tc>
      </w:tr>
      <w:tr>
        <w:trPr>
          <w:trHeight w:val="567"/>
        </w:trPr>
        <w:tc>
          <w:tcPr>
            <w:tcW w:type="dxa" w:w="3000"/>
          </w:tcPr>
          <w:p>
            <w:r>
              <w:t>Numéro d'Identification</w:t>
            </w:r>
          </w:p>
        </w:tc>
        <w:tc>
          <w:tcPr>
            <w:tcW w:type="dxa" w:w="7000"/>
          </w:tcPr>
          <w:p>
            <w:r>
              <w:t>9782854288810</w:t>
            </w:r>
          </w:p>
        </w:tc>
      </w:tr>
    </w:tbl>
    <w:p>
      <w:pPr>
        <w:pStyle w:val="Heading3"/>
      </w:pPr>
      <w:r>
        <w:t>Résumé :</w:t>
      </w:r>
    </w:p>
    <w:p>
      <w:r>
        <w:t>Les questions abordées sont en général celles qui sont enseignées en début d'année : rudiments de logique, ensembles, applications, relations d'équivalence et d'ordre. Ce fascicule se termine par un chapitre sur l'ensemble des nombres entiers naturels, et un chapitre sur les problèmes de dénombrement. L'étude de ces thèmes sera également très utile aux étudiants qui préparent le C.A.P.E.S. de Mathématiques. Chaque chapitre contient un rappel de cours conséquent et de nombreux exercices corrigés et commentés, la plupart d'entre eux revenant immanquablement dans les sujets d'examen et de concours.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31/07/2026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